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2009/226 vom 20. Juni 2011</w:t>
      </w:r>
    </w:p>
    <w:p>
      <w:r>
        <w:t>Sg Versicherungsgericht, 2011-06-20, DE</w:t>
      </w:r>
    </w:p>
    <w:p>
      <w:r>
        <w:rPr>
          <w:b/>
        </w:rPr>
        <w:t xml:space="preserve">Quelle: </w:t>
      </w:r>
      <w:r>
        <w:t>https://mcp.opencaselaw.ch/entscheid/sg_publikationen_IV 2009_226</w:t>
      </w:r>
    </w:p>
    <w:p>
      <w:r>
        <w:t>FR: SG_VERSICHERUNGSGERICHT IV 2009/226 du 20 juin 2011</w:t>
      </w:r>
    </w:p>
    <w:p>
      <w:r>
        <w:t>IT: SG_VERSICHERUNGSGERICHT IV 2009/226 del 20 giugno 2011</w:t>
      </w:r>
    </w:p>
    <w:p>
      <w:pPr>
        <w:pStyle w:val="Heading2"/>
      </w:pPr>
      <w:r>
        <w:t>Regeste</w:t>
      </w:r>
    </w:p>
    <w:p>
      <w:r>
        <w:t>Art. 43 ATSG. Würdigung eines medizinischen Gutachtens. Aufgrund ungeklärter Widersprüche zwischen zwei Gutachten und anderweitiger Indizien, welche Zweifel am letzten Gutachten aufkommen lassen, ist eine weitere Begutachtung durchzuführen (Entscheid des Versicherungsgerichts des Kantons St. Gallen vom 20. Juni 2011, IV 2009/226.</w:t>
      </w:r>
    </w:p>
    <w:p>
      <w:pPr>
        <w:pStyle w:val="Heading2"/>
      </w:pPr>
      <w:r>
        <w:t>Erwägungen</w:t>
      </w:r>
    </w:p>
    <w:p>
      <w:r>
        <w:rPr>
          <w:b/>
        </w:rPr>
        <w:t>E. 1</w:t>
      </w:r>
    </w:p>
    <w:p>
      <w:r>
        <w:t>Streitig und zu prüfen sind in erster Linie der Invaliditätsgrad und der Rentenbeginn, nachdem die Beschwerdegegnerin dem Beschwerdeführer ab 1. Juni 2005 eine Viertelsrente und ab 1. September 2005 eine halbe Rente zugesprochen hat und dieser beschwerdeweise die Zusprache einer ganzen Rente ab 1. September 2003, einer Dreiviertelsrente ab 1. Januar 2004 und einer ganzen Rente ab 1. Februar 2005 verlangt. Gemäss dem im Sozialversicherungsrecht allgemein gültigen Grundsatz „Eingliederung vor Rente“ ist ebenfalls zu prüfen, ob die Beschwerdegegnerin die berufliche Eingliederung zuverlässig geprüft hat.</w:t>
      </w:r>
    </w:p>
    <w:p>
      <w:r>
        <w:rPr>
          <w:b/>
        </w:rPr>
        <w:t>E. 2</w:t>
      </w:r>
    </w:p>
    <w:p>
      <w:r>
        <w:t>2.1    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Der zu beurteilende Sachverhalt beschlägt teilweise den Zeitraum vor Inkrafttreten der 5. IV-Revision. Gemäss den allgemeinen intertemporalrechtlichen Regeln ist für die Zeit bis 31. Dezember 2007 auf die damals geltenden Bestimmungen und ab 1. Januar 2008 auf die neuen Normen abzustellen. Da sich die Definition der Invalidität und die damit zusammenhängenden Begriffe mit der 5. IV-Revision nicht geändert haben, werden diesbezüglich nachfolgend die am 1. Januar 2008 in Kraft getretenen Bestimmungen wiedergegeben. Für die Frage des Rentenbeginns kommen vorliegend die bis 31. Dezember 2007 geltenden Vorschriften zur Anwendung. 2.2    Invalidität ist die voraussichtlich bleibende oder längere Zeit dauernde ganze oder teilweise Erwerbsunfähigkeit (Art. 8 Abs. 1 ATSG), das heisst der durch Beeinträchtigung der körperlichen, geistigen oder psychischen Gesundheit verursachte und nach ärztlicher Behandlung und Eingliederung verbleibende ganze oder teilweise Verlust der Erwerbsmöglichkeiten auf dem in Betracht kommenden ausgeglichenen Arbeitsmarkt (Art. 7 Abs. 1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Erwerbseinkommen, das sie erzielen könnte, wenn sie nicht invalid geworden wäre (Valideneinkommen; Art. 16 ATSG). 2.3    Die Feststellung des Gesundheitsschadens, das heisst die Befunderhebung und die gestützt darauf gestellte Diagnose, aber auch die Prognose und die Ätiologie, die durch den festgestellten Gesundheitsschaden verursachte Arbeitsunfähigkeit sowie das noch vorhandene funktionelle Leistungsvermögen oder das Vorhandensein und die Verfügbarkeit von Ressourcen sind Tatfragen (BGE 132 V 398 E. 3.2), deren Beantwortung entsprechendes Fachwissen voraussetzt. Im Rahmen des Untersuchungsgrundsatzes (Art. 43 Abs. 1 ATSG) hat die IV-Stelle daher in aller Regel ärztliche Sachverständige zur Beantwortung dieser Fragen beizuziehen (vgl. Art. 43 Abs. 2 ATSG und Art. 69 Abs. 2 und 4 IVV), so etwa jene des IV-internen regionalen ärztlichen Dienstes (RAD; vgl. Art. 49 Abs. 1 IVV) oder solche einer MEDAS. Aufgabe der IV-Stelle und des Versicherungsgerichts ist es, diese Tatsachen rechtlich zu würdigen, das heisst zu beurteilen, ob die ärztlichen Aussagen und Schätzungen die zuverlässige Beurteilung des Leistungsanspruchs erlauben und, falls dies der Fall ist, gestützt auf diese Feststellungen sowie die Feststellungen zu den beiden Vergleichseinkommen den Invaliditätsgrad zu bemessen (vgl. BGE 132 V 398 f. E. 3.2 f.).</w:t>
      </w:r>
    </w:p>
    <w:p>
      <w:r>
        <w:rPr>
          <w:b/>
        </w:rPr>
        <w:t>E. 3</w:t>
      </w:r>
    </w:p>
    <w:p>
      <w:r>
        <w:t>3.1    Den medizinischen Akten lässt sich übereinstimmend entnehmen, dass der Beschwerdeführer vor allem durch Rückenbeschwerden in seiner Arbeitsfähigkeit eingeschränkt ist (vgl. IV-act. 7, 30, 41 und 89). Zudem liegen eine Hüftgelenksarthrose links, eine Meniskusläsion im linken Kniegelenk sowie eine Funktionsbeeinträchtigung der Gelenksbeweglichkeit der linken Schulter vor (vgl. IV-act. 41 und 89). Das Ausmass der Auswirkungen dieser Beeinträchtigungen auf die Arbeitsfähigkeit wird in den verschiedenen Berichten indessen unterschiedlich geschätzt. So attestierte Dr. D.___ zunächst in seinem Bericht vom 20. Mai 2005 (IV-act. 30) eine 70%ige Arbeitsunfähigkeit für leidensadaptierte Tätigkeiten; allerdings ist aufgrund seiner Ausführungen in der Stellungnahme vom 12. Dezember 2008 (IV-act. 107; vgl. auch IV-act. 103–4) davon auszugehen, dass diese Arbeitsfähigkeitsschätzung zu einem wesentlichen Teil auch den übrigen nicht somatischen Gesundheitsbeeinträchtigungen Rechnung trägt. Jedenfalls kann angesichts der späteren Ausführungen von Dr. D.___ nicht davon ausgegangen werden, die von ihm attestierte 70%ige Arbeitsunfähigkeit sei rein somatisch begründet. Im Gegensatz dazu lässt sich dem Gutachten von Dr. E.___ (IV-act. 41) klar entnehmen, dass die von ihm attestierte Arbeitsunfähigkeit von 30 % einzig den somatischen Beeinträchtigungen Rechnung trägt. Auch dem Gutachten der ABI GmbH (IV-act. 89) lässt sich klar entnehmen, dass die attestierte Arbeitsunfähigkeit von 20 % einzig den somatischen Beeinträchtigungen Rechnung trägt. Auch wenn zwischen den beiden gutachterlichen Einschätzungen mithin weitgehende Übereinstimmung vorliegt und davon ausgegangen werden kann, die von Dr. D.___ aus rein somatischer Sicht attestierte Arbeitsunfähigkeit in einer leidensadaptierten Tätigkeit liege nicht wesentlich höher, besteht doch immerhin eine Diskrepanz von 10 % zwischen den Einschätzungen von Dr. E.___ und den Gutachtern der ABI GmbH, obwohl die im Rahmen der Begutachtungen erhobenen Befunde und gestellten Diagnosen weitgehend dieselben sind. Dem späteren Gutachten der ABI GmbH fehlt es an einer Begründung für diese unterschiedliche Beurteilung. Ob mithin von einer 20%igen oder einer 30%igen Einschränkung der Arbeitsfähigkeit in leidensadaptierten Tätigkeiten auszugehen ist, kann aufgrund der vorliegenden Akten nicht mit überwiegender Wahrscheinlichkeit festgestellt werden. 3.2    Hinzu kommt, dass angesichts der von Dr. E.___ erhobenen Befunde, insbesondere der Schmerzausstrahlungen in den rechten Knöchel, gemäss den insofern nachvollziehbaren Ausführungen des RAD-Arztes Dr. G.___ allenfalls ein radikuläres Syndrom vorliegen könnte, weshalb Dr. G.___ auch eine polydisziplinäre Begutachtung mit Einschluss einer neurologischen oder neurochirurgischen Untersuchung empfahl (IV-act. 81). Nachdem die Gutachter der ABI GmbH den Beschwerdeführer weder neurologisch noch neurochirurgisch untersucht haben und auch anderweitig keine neurologische Untersuchung stattgefunden hat, verbleibt diesbezüglich eine Ungewissheit. Die Ausführungen der Gutachter der ABI GmbH, es lägen weder anamnestisch noch klinisch Hinweise für eine neurologische Komplikation vor, überzeugen nicht, waren im Zeitpunkt der Begutachtung doch anamnestisch Hinweise auf neurologische Komplikationen, wie dargelegt, ausgewiesen (vgl. IV-act. 41 und 81). Die fehlende neurologische Untersuchung ist deshalb als erheblicher Mangel zu qualifizieren; der Sachverhalt erweist sich diesbezüglich als nicht genügend abgeklärt. 3.3    Schliesslich lassen die Hinweise von Dr. D.___ in dessen Stellungnahme vom 12. Dezember 2008 (IV-act. 107) den Verdacht auf eine zusätzliche psychische Problematik aufkommen. Zwar wurde der Beschwerdeführer im Rahmen der Begutachtung durch die ABI GmbH unter anderem auch psychiatrisch untersucht, ohne dass dabei wesentliche psychische Beeinträchtigungen festgestellt wurden, doch lässt sich dem Gutachten der ABI GmbH entnehmen, dass der Beschwerdeführer im Rahmen der Begutachtung unter anderem angegeben hatte, in intakter und harmonischer Beziehung zu seiner Ehefrau zu leben und nicht regelmässig Alkohol zu konsumieren, geschweige denn Alkoholmissbrauch zu betreiben. Diese Aussagen stehen nicht nur im Widerspruch zur (nachträglichen) Stellungnahme von Dr. D.___, sondern auch zu früheren Akten: Dem nicht genauer datierten „Arbeitsprotokoll“ aus den Jahren 1999/2000 lässt sich entnehmen, dass der Beschwerdeführer offensichtlich bereits damals getrennt von seiner Ehefrau lebte (IV-act. 21–1); im Gutachten von Dr. E.___ wird festgehalten, dass der Beschwerdeführer täglich zwei Flaschen Bier konsumiere (IV-act. 41–2). Dass der psychiatrische Konsiliargutachter der ABI GmbH bei der Beurteilung auf die aktenwidrigen Angaben des Beschwerdeführers abgestellt hat, ohne diese kritisch zu hinterfragen oder zu würdigen, wirft Zweifel an der Zuverlässigkeit der psychiatrischen Beurteilung auf. Es kann zumindest nicht mit überwiegender Wahrscheinlichkeit davon ausgegangen werden, es läge keine relevante psychische Problematik vor. Auch diesbezüglich erweist sich der Sachverhalt deshalb als ungenügend abgeklärt. 3.4    Die festgestellten Unklarheiten sind durch ein neuerliches polydisziplinäres Gutachten mit Einschluss von zumindest rheumatologischer, neurologischer und psychiatrischer Untersuchung, vorteilsweise nach Einholung fremdanamnestischer Angaben insbesondere zu allfälligen psychischen Auffälligkeiten, zu beseitigen. Die Sache ist in diesem Sinne an die Beschwerdegegnerin zur Durchführung weiterer Abklärungen und anschliessender Neuverfügung zurückzuweisen.</w:t>
      </w:r>
    </w:p>
    <w:p>
      <w:r>
        <w:rPr>
          <w:b/>
        </w:rPr>
        <w:t>E. 4</w:t>
      </w:r>
    </w:p>
    <w:p>
      <w:r>
        <w:t>4.1    Demnach ist die Beschwerde teilweise gutzuheissen. 4.2    Gemäss Art. 69 Abs. 1 bis IVG ist das Beschwerdeverfahren bei Streitigkeiten um die Bewilligung oder die Verweigerung von Leistungen der Invalidenversicherung vor dem kantonalen Versicherungsgericht kostenpflichtig. Die Kosten werden nach dem Verfahrensaufwand und unabhängig vom Streitwert im Rahmen von Fr. 200.-- bis Fr. 1’000.-- festgelegt. Nach Art. 95 Abs. 1 VRP hat in Streitigkeiten jener Beteiligte die Kosten zu tragen, dessen Begehren ganz oder teilweise abgewiesen werden. Da sich der Beschwerdeführer veranlasst sah, die Verfügung vom 28. Mai 2009 als rechtswidrig zu beanstanden und ihre Aufhebung zu beantragen, und er insofern mit seinem Antrag vollumfänglich durchgedrungen ist, ist bei der Verlegung der Gerichtskosten – in Analogie zur Rechtsprechung zur Verlegung der Parteientschädigungen – dem „Überklagen“ nicht (wie etwa in einem zivilprozessualen Klageverfahren) Rechnung zu tragen bzw. nicht auf das Ausmass des Obsiegens abzustellen (vgl. den Entscheid IV 2007/359 des Versicherungsgerichts des Kantons St. Gallen vom 6. Januar 2009, E. 5, mit Hinweisen). Angesichts des in diesem Sinne vollen Unterliegens der Beschwerdegegnerin rechtfertigt es sich, ihr die Gerichtskosten gesamthaft aufzuerlegen. Eine Entscheidgebühr von Fr. 600.-- erscheint angemessen. Dem Beschwerdeführer ist der in selbiger Höhe geleistete Kostenvorschuss zurückzuerstatten. 4.3    Die obsiegende Beschwerde führende Person hat Anspruch auf Ersatz der Parteikosten, die vom Versicherungsgericht festgesetzt und ohne Rücksicht auf den Streitwert nach der Bedeutung der Streitsache und nach der Schwierigkeit des Prozesses bemessen werden (Art. 61 lit. g ATSG). Gemäss Art. 10 Abs. 1 des Anwaltsgesetzes des Kantons St. Gallen (AnwG; sGS 963.70) ist die berufsmässige Vertretung vor st. gallischen Gerichten zwar grundsätzlich den in einem kantonalen Anwaltsregister eingetragenen Rechtsanwälten vorbehalten, doch sind daneben gemäss Art. 12 Abs. 1 lit. b AnwG auch Vertreter von Selbsthilfe- und gemeinnützigen Organisationen zur berufsmässigen Vertretung vor Versicherungsgericht befugt. Die Regelung von Art. 12 Abs. 1 lit. b AnwG steht in Einklang mit der ursprünglich zu Art. 85 Abs. 2 lit. f AHVG entwickelten (vgl. etwa ZAK 1980, S. 123, mit Hinweisen) und nach Inkrafttreten des ATSG bezogen auf Art. 61 lit. g ATSG weitergeführten Rechtsprechung (vgl. BGE 135 V 473), wonach die bundesrechtlichen Minimalvorschriften des Art. 61 ATSG nicht nur dann eine Parteientschädigung vorsehen, wenn die betroffene Partei durch einen in einem kantonalen Anwaltsregister eingetragenen Anwalt vertreten wird, sondern auch dann, wenn die Vertretung durch eine andere besonders qualifizierte Person erfolgt (vgl. BGE 108 V 270). Vorliegend erfolgte die Vertretung durch eine beim Verband „B.___“ angestellte Juristin, die nicht im Besitz eines Anwaltspatents ist (vgl. act. G 3 und G 5). Da dieser Verband als Selbsthilfeorganisation im Sinne von Art. 12 Abs. 1 lit. b AnwG zu qualifizieren ist, steht dem Beschwerdeführer eine Parteientschädigung zu, die sich allerdings nicht am Anwaltstarif zu orientieren hat (Art. 30 Abs. 1 lit. b Ziff. 1 AnwG i.V.m. Art. 1 Abs. 1 der Honorarordnung für Rechtsanwälte und Rechtsagenten des Kantons St. Gallen [HonO; sGS 963.75] e contrario). Die Parteientschädigung wird ermessensweise auf Fr. 700.-- (einschliesslich Barauslagen und Mehrwertsteuer) festgesetzt. Demgemäss hat das Versicherungsgericht im Zirkulationsverfahren gemäss Art. 39 VRP entschieden: 1.       In teilweiser Gutheissung der Beschwerde wird die Verfügung vom 28. Mai 2009 aufgehoben und die Angelegenheit zu weiteren Abklärungen im Sinne der Erwägungen und anschliessender Neuverfügung an die Beschwerdegegnerin zurückgewiesen. 2.       Die Beschwerdegegnerin hat eine Gerichtsgebühr von Fr. 600.-- zu bezahlen. Dem Beschwerdeführer wird der Kostenvorschuss in gleicher Höhe zurückerstattet. 3.       Die Beschwerdegegnerin hat dem Beschwerdeführer eine Parteientschädigung von Fr. 700.-- (einschliesslich Barauslagen und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